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附件1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2024年“国科大杯”创新创业大赛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主赛道方案</w:t>
      </w:r>
    </w:p>
    <w:p>
      <w:pPr>
        <w:spacing w:line="560" w:lineRule="exact"/>
        <w:jc w:val="center"/>
        <w:rPr>
          <w:rFonts w:ascii="Times New Roman" w:eastAsia="方正小标宋简体" w:hAnsi="Times New Roman" w:cs="方正公文小标宋" w:hint="eastAsia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 xml:space="preserve">一、参赛项目类型</w:t>
      </w:r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（一）新一代信息技术：通用人工智能、量子信息、工业软件、物联网、互联网、自动驾驶关键技术、云计算、大数据服务与网络信息安全等相关内容。</w:t>
      </w:r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（二）智能硬件：可穿戴设备、智能汽车、智能家居、智能医疗、智能农业、智慧工厂、脑机接口、人形机器人等相关内容。</w:t>
      </w:r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（三）高端装备制造：科学仪器仪表与传感器、航空航天装备、轨道交通装备、海洋工程装备、工业母机、智能制造装备等相关内容。</w:t>
      </w:r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（四）新材料、新能源与绿色环保：先进金属材料、先进化石化工新材料、先进无机非金属材料、高性能纤维及制品和复合材料、前沿新材料等相关内容；风能、太阳能、氢能、生物质能等新能源；新型储能、智能电网、高效节能产业、先进环保产业、资源循环利用产业等相关内容。</w:t>
      </w:r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（五）生命科学与医疗健康：生物医药、生物技术、生物育种、医疗器械材料、医疗科技、医疗服务等相关内容。</w:t>
      </w:r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（六）乡村振兴与社会服务：农业科技、农业技术、农业服务、先进农机等乡村产业振兴，乡村文化振兴；文化创意、商业模式创新及其它不包含在赛道一至五内的项目类型。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 xml:space="preserve">二、参赛方式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本赛道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以团队为单位报名参赛，每个团队的参赛成员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不少于3人，不多于15人（含团队负责人）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，须为项目的实际成员。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 xml:space="preserve">三、参赛组别和对象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根据参赛项目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发展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阶段，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设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创意组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、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初创组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和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成长组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。具体参赛条件如下：</w:t>
      </w:r>
    </w:p>
    <w:p>
      <w:pPr>
        <w:pStyle w:val="ListParagraph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创意组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参赛项目具有较好的创意和较为成型的产品原型或服务模式，在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大赛通知下发</w:t>
      </w: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之日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前尚未完成工商等各类登记注册，并符合以下条件：</w:t>
      </w:r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1.参赛申报人须为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负责人，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负责人须为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国科大师生、校友或中国科学院院属单位相关人员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。</w:t>
      </w:r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2.参赛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添加指导教师须征得教师本人同意，指导教师须为国科大在岗教职工或中国科学院院属单位相关人员。</w:t>
      </w:r>
    </w:p>
    <w:p>
      <w:pPr>
        <w:pStyle w:val="ListParagraph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初创组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bookmarkStart w:id="1" w:name="_Hlk98832720"/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参赛项目工商等各类登记注册应未满3年（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2021年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 xml:space="preserve">7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月1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 xml:space="preserve">0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日后注册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），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且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获机构或个人股权投资不超过1轮次，并符合以下条件：</w:t>
      </w:r>
      <w:bookmarkEnd w:id="1"/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1.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参赛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 xml:space="preserve">申报人须为项目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负责人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且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为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参赛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企业法定代表人，须为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国科大师生、校友或中国科学院院属单位相关人员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；或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国科大师生、校友或中国科学院院属单位相关人员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推荐的优质项目。</w:t>
      </w:r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2.初创组项目的股权结构中，企业法定代表人的股权不得少于10%，或参赛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团队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成员股权合计不得少于1/3（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穿透合并计算后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）。</w:t>
      </w:r>
    </w:p>
    <w:p>
      <w:pPr>
        <w:pStyle w:val="ListParagraph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成长组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参赛项目</w:t>
      </w:r>
      <w:bookmarkStart w:id="2" w:name="_Hlk98832800"/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工商等各类登记注册3年以上</w:t>
      </w:r>
      <w:bookmarkEnd w:id="2"/>
      <w:bookmarkStart w:id="3" w:name="_Hlk98832817"/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（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2021年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 xml:space="preserve">7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月1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 xml:space="preserve">0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日前注册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）</w:t>
      </w:r>
      <w:bookmarkEnd w:id="3"/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；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或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工商等各类登记未满3年（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2021年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 xml:space="preserve">7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月1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 xml:space="preserve">0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日后注册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），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且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获机构或个人股权投资2轮次以上（含2轮次），并符合以下条件：</w:t>
      </w:r>
    </w:p>
    <w:p>
      <w:pPr>
        <w:pStyle w:val="ListParagraph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1.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参赛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lang w:val="en-US" w:eastAsia="zh-CN"/>
        </w:rPr>
        <w:t xml:space="preserve">申报人须为项目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负责人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且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为</w:t>
      </w: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参赛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企业法定代表人，须为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国科大师生、校友或中国科学院院属单位相关人员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；或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国科大师生、校友或中国科学院院属单位相关人员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推荐的优质项目。</w:t>
      </w:r>
    </w:p>
    <w:p>
      <w:pPr>
        <w:pStyle w:val="ListParagraph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2.成长组项目的股权结构中，参赛企业法定代表人的股权不得少于10%，或参赛成员股权合计不得少于1/3（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穿透合并计算后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 xml:space="preserve">四、奖项设置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val="en-US" w:eastAsia="zh-CN"/>
        </w:rPr>
        <w:t xml:space="preserve">本赛道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设置新质奖、项目奖、优秀指导教师奖、优秀组织单位奖（所有现金奖励均为税前）：</w:t>
      </w: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新质奖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重点支持在总决赛主赛道获得一、二、三等奖，且获奖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一年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内达到“新质奖”落地奖励要求的项目，评选出至多4名，奖金各50万元。</w:t>
      </w:r>
    </w:p>
    <w:p>
      <w:pPr>
        <w:pStyle w:val="Normal(Web)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项目奖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一等奖：创意组1名，奖金1.5万元；初创组1名，奖金3万元；成长组1名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奖金5万元。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二等奖：创意组2名，奖金各1万元；初创组2名，奖金各2万元；成长组2名，奖金各3万元。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三等奖：创意组3名，奖金各0.5万元；初创组3名，奖金各1万元；成长组3名，奖金各2万元。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优秀奖：100名，奖金各0.4万元。</w:t>
      </w:r>
    </w:p>
    <w:p>
      <w:pPr>
        <w:pStyle w:val="Normal(Web)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（三）优秀指导教师奖</w:t>
      </w:r>
    </w:p>
    <w:p>
      <w:pPr>
        <w:pStyle w:val="Normal(Web)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仿宋_GB2312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向获得总决赛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val="en-US" w:eastAsia="zh-CN"/>
        </w:rPr>
        <w:t xml:space="preserve">主赛道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创意组奖项的国科大在校生团队指导教师颁发优秀指导教师奖，总决赛一等奖、二等奖、三等奖获奖项目指导教师对应奖金分别为1.5万元、1万元、0.5万元。</w:t>
      </w:r>
    </w:p>
    <w:p>
      <w:pPr>
        <w:pStyle w:val="Normal(Web)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仿宋_GB2312" w:hint="eastAsia"/>
          <w:kern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（四）优秀组织单位奖</w:t>
      </w:r>
    </w:p>
    <w:p>
      <w:pPr>
        <w:pStyle w:val="Normal(Web)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</w:rPr>
        <w:t xml:space="preserve">向对赛事做出重大贡献的单位颁发优秀组织单位奖荣誉证书。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9FC7B3-7CC4-4F54-8DB9-085151367629}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2" w:fontKey="{1B1237E8-74E3-4C94-B94E-EBD7E04818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279CA8-4D46-41DE-9A14-55DE384A94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24F5966-0A7E-4B9E-8E86-A8DA7860C1C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91C59F23-683A-47D1-BA1F-522D3443D952}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multiLevelType w:val="multilevel"/>
    <w:lvl w:ilvl="0">
      <w:start w:val="1"/>
      <w:numFmt w:val="japaneseCounting"/>
      <w:suff w:val="tab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80" w:hanging="420"/>
      </w:pPr>
      <w:rPr/>
    </w:lvl>
    <w:lvl w:ilvl="2">
      <w:start w:val="1"/>
      <w:numFmt w:val="lowerRoman"/>
      <w:suff w:val="tab"/>
      <w:lvlText w:val="%3."/>
      <w:lvlJc w:val="right"/>
      <w:pPr>
        <w:ind w:left="1900" w:hanging="420"/>
      </w:pPr>
      <w:rPr/>
    </w:lvl>
    <w:lvl w:ilvl="3">
      <w:start w:val="1"/>
      <w:numFmt w:val="decimal"/>
      <w:suff w:val="tab"/>
      <w:lvlText w:val="%4."/>
      <w:lvlJc w:val="left"/>
      <w:pPr>
        <w:ind w:left="2320" w:hanging="420"/>
      </w:pPr>
      <w:rPr/>
    </w:lvl>
    <w:lvl w:ilvl="4">
      <w:start w:val="1"/>
      <w:numFmt w:val="lowerLetter"/>
      <w:suff w:val="tab"/>
      <w:lvlText w:val="%5)"/>
      <w:lvlJc w:val="left"/>
      <w:pPr>
        <w:ind w:left="2740" w:hanging="420"/>
      </w:pPr>
      <w:rPr/>
    </w:lvl>
    <w:lvl w:ilvl="5">
      <w:start w:val="1"/>
      <w:numFmt w:val="lowerRoman"/>
      <w:suff w:val="tab"/>
      <w:lvlText w:val="%6."/>
      <w:lvlJc w:val="right"/>
      <w:pPr>
        <w:ind w:left="3160" w:hanging="420"/>
      </w:pPr>
      <w:rPr/>
    </w:lvl>
    <w:lvl w:ilvl="6">
      <w:start w:val="1"/>
      <w:numFmt w:val="decimal"/>
      <w:suff w:val="tab"/>
      <w:lvlText w:val="%7."/>
      <w:lvlJc w:val="left"/>
      <w:pPr>
        <w:ind w:left="3580" w:hanging="420"/>
      </w:pPr>
      <w:rPr/>
    </w:lvl>
    <w:lvl w:ilvl="7">
      <w:start w:val="1"/>
      <w:numFmt w:val="lowerLetter"/>
      <w:suff w:val="tab"/>
      <w:lvlText w:val="%8)"/>
      <w:lvlJc w:val="left"/>
      <w:pPr>
        <w:ind w:left="4000" w:hanging="420"/>
      </w:pPr>
      <w:rPr/>
    </w:lvl>
    <w:lvl w:ilvl="8">
      <w:start w:val="1"/>
      <w:numFmt w:val="lowerRoman"/>
      <w:suff w:val="tab"/>
      <w:lvlText w:val="%9."/>
      <w:lvlJc w:val="right"/>
      <w:pPr>
        <w:ind w:left="4420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ZjEwMmU0OTRmMDc5Y2E1NTU3NjU5MDM4NDg1MGJkMjY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(Web)">
    <w:name w:val="Normal (Web)"/>
    <w:basedOn w:val="Normal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2024-07-04T18:05:00Z</dcterms:created>
  <dc:creator>波鸣</dc:creator>
  <cp:lastModifiedBy>波鸣</cp:lastModifiedBy>
  <dcterms:modified xsi:type="dcterms:W3CDTF">2024-07-04T04:16:59Z</dcterms:modified>
  <cp:revision>1</cp:revision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1513</Words>
  <Characters>1560</Characters>
  <Lines>0</Lines>
  <Paragraphs>0</Paragraphs>
  <TotalTime>7</TotalTime>
  <ScaleCrop>false</ScaleCrop>
  <LinksUpToDate>false</LinksUpToDate>
  <CharactersWithSpaces>1560</CharactersWithSpaces>
  <Application>WPS Office_12.1.0.16929_F1E327BC-269C-435d-A152-05C5408002CA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FDEEE447D2BCCF8D7D148666A51812A8_43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4</Pages>
  <Words>1513</Words>
  <Characters>1560</Characters>
  <Application>WPS Office_12.1.0.16929_F1E327BC-269C-435d-A152-05C5408002CA</Application>
  <DocSecurity>0</DocSecurity>
  <Lines>0</Lines>
  <Paragraphs>0</Paragraphs>
  <CharactersWithSpaces>1560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波鸣</dc:creator>
  <cp:lastModifiedBy>波鸣</cp:lastModifiedBy>
  <cp:revision>1</cp:revision>
  <dcterms:created xsi:type="dcterms:W3CDTF">2024-07-04T18:05:00Z</dcterms:created>
  <dcterms:modified xsi:type="dcterms:W3CDTF">2024-07-04T04:16:59Z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2052-12.1.0.16929</vt:lpstr>
  </property>
  <property fmtid="{D5CDD505-2E9C-101B-9397-08002B2CF9AE}" pid="3" name="ICV">
    <vt:lpstr>FDEEE447D2BCCF8D7D148666A51812A8_43</vt:lpstr>
  </property>
</Properties>
</file>